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Parc Champlain vers halte routière de Champlain avec la cyclofête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51,5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de Parc Champlain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Casernes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Ursulines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des Draveurs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Duplessis/QC-157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Verte 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138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pause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arret halte routiere pour ensuite retour vers le parc champlain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de Red Mill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Saint-Malo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J Real Desrosiers/Rue J.-Réal-Desrosiers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138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Sanctuaire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Perreault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Rte Verte 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Duplessis/QC-157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138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des Draveurs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Av. des Draveurs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complètement à gauche pour rester sur Av. des Draveurs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Ursulines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Casernes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