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  Lac Simon Jour 2 - Joliette-St-Jérôme 70.6 km, 2023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70,6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DÉPART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9H30 Motel Bonsoir, St-Charles Boromée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du Golf Ouest, suivre piste cyclable après feux de circulation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Juge Guibault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Bordeleau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 Sainte-Anne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 rue Baby - suivre piste cyclable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DIAGONALE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Dans le parc vers rue Archambault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2.9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Archambault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St Pierre Nord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Notre Dame devient chemin St-Jacques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St Jean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Delangis devient 8e rue, à Crabtree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13,5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 sur Chemin Bourgeois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St-Jean, à Ste-Marie Salomé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18.3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Pour rester sur Chemin St-Jean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18.7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Sur Montcalm / Chemin Lévesque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Plouffe qui devient la QC-341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Ruisseau St Georges Sud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21.7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Mireault, route parallèle à la QC-341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23.9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QC-341 Sud / Ch. Dupuis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rivière Nord / QC-341 Sud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26.3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Après le pont chemin du Ruisseau St Jean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Après la courbe, devient rue du Parc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42.6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12e Avenue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St-Isidore / QC 335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43.2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DÎNER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 Parc Cascades de la petite rivière, St-Lin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St-Isidore / QC 335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9e Av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de l'Achigan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QC-158 Ouest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65,8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P'tit Train du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9e Rue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Suivre P'tit Train du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66.7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Bd. Jean-Baptiste Rolland Est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Blvd du Grand Héron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69.7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Embranchement pour Bd. Roland Godard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70.3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Lamontagne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70.5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John F Kennedy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70.7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ARRIVÉE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Super 8, 3 rue  John F Kennedy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